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Employment</w:t>
      </w:r>
    </w:p>
    <w:p w:rsidR="00000000" w:rsidDel="00000000" w:rsidP="00000000" w:rsidRDefault="00000000" w:rsidRPr="00000000" w14:paraId="0000000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Purpose of this schedule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schedule sets out the Parties' respective rights and obligations in relation to the application of the Employment Regulations to this Framework Agreement.</w:t>
      </w:r>
    </w:p>
    <w:p w:rsidR="00000000" w:rsidDel="00000000" w:rsidP="00000000" w:rsidRDefault="00000000" w:rsidRPr="00000000" w14:paraId="0000000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Application of the Employment Regulations on the commencement of this Framework Agreement</w:t>
      </w:r>
    </w:p>
    <w:p w:rsidR="00000000" w:rsidDel="00000000" w:rsidP="00000000" w:rsidRDefault="00000000" w:rsidRPr="00000000" w14:paraId="0000000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and the Supplier agree that the Employment Regulations shall not apply in such a way so as to transfer the employment of any employees of the Authority to the Supplier on the commencement of the provision of the Services or of any part of the Services.</w:t>
      </w:r>
    </w:p>
    <w:p w:rsidR="00000000" w:rsidDel="00000000" w:rsidP="00000000" w:rsidRDefault="00000000" w:rsidRPr="00000000" w14:paraId="0000000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any person who is an employee of the Authority claims, or it is determined, that his contract of employment has been transferred from the Authority to the Supplier pursuant to the Employment Regulations, or claims that his employment would have so transferred had he not resigned, then:</w:t>
      </w:r>
    </w:p>
    <w:p w:rsidR="00000000" w:rsidDel="00000000" w:rsidP="00000000" w:rsidRDefault="00000000" w:rsidRPr="00000000" w14:paraId="0000000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 within seven (7) Working Days of becoming aware of that fact, give notice in writing to the Authority;</w:t>
      </w:r>
    </w:p>
    <w:p w:rsidR="00000000" w:rsidDel="00000000" w:rsidP="00000000" w:rsidRDefault="00000000" w:rsidRPr="00000000" w14:paraId="0000000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offer employment to such person within twenty one (21) Working Days of the notification by the Supplier and, if such offer of employment is accepted, the Supplier shall immediately release the person from his/her employment;</w:t>
      </w:r>
    </w:p>
    <w:p w:rsidR="00000000" w:rsidDel="00000000" w:rsidP="00000000" w:rsidRDefault="00000000" w:rsidRPr="00000000" w14:paraId="0000000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after that period has elapsed either: (i) no such offer of employment has been made; or (ii) it has been made but has not been accepted, the Supplier may within seven Working Days give notice to terminate the employment of such person; and</w:t>
      </w:r>
    </w:p>
    <w:p w:rsidR="00000000" w:rsidDel="00000000" w:rsidP="00000000" w:rsidRDefault="00000000" w:rsidRPr="00000000" w14:paraId="0000000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(i) such offer of employment is not made and accepted under Paragraph 2.2.2; or (ii) the Supplier has not given notice to terminate the employment under Paragraph 2.2.3, the Supplier shall be liable for and shall indemnify and keep indemnified in full the Authority on demand from and against any Employment Liabilities in respect of such person from the date of the Relevant Transfer.</w:t>
      </w:r>
    </w:p>
    <w:p w:rsidR="00000000" w:rsidDel="00000000" w:rsidP="00000000" w:rsidRDefault="00000000" w:rsidRPr="00000000" w14:paraId="0000000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and the Supplier believe that, pursuant to the Employment Regulations and following the Service Commencement Date, where the identity of the provider of any of the Services (or any part of them) changes this shall constitute a Relevant Transfer and, as a result of the operation of the Employment Regulations the contracts of employment between the Third Party Employer and the Third Party Employees (except in relation to any terms disapplied through operation of regulation 10(2) of the Employment Regulations) will transfer and have effect as if originally made between the Supplier and the Third Party Employees from the Relevant Transfer Date. The Supplier shall comply with its obligations under the Employment Regulations in respect of any such transfer and shall indemnify the Authority from any claim made by or in respect of a Third Party Employee or any appropriate representative (as defined in the Employment Regulations) of any Third Party Employee relating to any act or omission of the Supplier in relation to its obligations under the Employment Regulations whether occurring before, on or after the date of the Relevant Transfer including any claim relating to its or their obligations under Regulation 13(4) of the Employment Regulations except to the extent that the liability arises from the Third Party Employee's failure to comply with its obligations under the Employment Regulations.</w:t>
      </w:r>
    </w:p>
    <w:p w:rsidR="00000000" w:rsidDel="00000000" w:rsidP="00000000" w:rsidRDefault="00000000" w:rsidRPr="00000000" w14:paraId="0000000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has the benefit of certain indemnities in clauses 45 and 46 of the Previous Framework Agreement and may, with the Approval of the Authority, enforce these pursuant to the Contracts (Rights of Third Parties) Act 1999. The terms of these indemnities are replicated below for convenience as Paragraphs 2.5 to 2.14.  In the case of any conflict, the terms of the Previous Framework Agreement will take precedence.</w:t>
      </w:r>
    </w:p>
    <w:p w:rsidR="00000000" w:rsidDel="00000000" w:rsidP="00000000" w:rsidRDefault="00000000" w:rsidRPr="00000000" w14:paraId="0000000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[45.1] The Supplier agrees that, subject to compliance with the Data Protection Legislation:</w:t>
      </w:r>
    </w:p>
    <w:p w:rsidR="00000000" w:rsidDel="00000000" w:rsidP="00000000" w:rsidRDefault="00000000" w:rsidRPr="00000000" w14:paraId="0000000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[45.1.1] it shall, by the earlier of:</w:t>
      </w:r>
    </w:p>
    <w:p w:rsidR="00000000" w:rsidDel="00000000" w:rsidP="00000000" w:rsidRDefault="00000000" w:rsidRPr="00000000" w14:paraId="0000001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nine (9) Months prior to the Service Transfer Date (in the case of expiry);</w:t>
      </w:r>
    </w:p>
    <w:p w:rsidR="00000000" w:rsidDel="00000000" w:rsidP="00000000" w:rsidRDefault="00000000" w:rsidRPr="00000000" w14:paraId="0000001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within twenty (20) Working Days after service of a notice to terminate this Framework Agreement; or</w:t>
      </w:r>
    </w:p>
    <w:p w:rsidR="00000000" w:rsidDel="00000000" w:rsidP="00000000" w:rsidRDefault="00000000" w:rsidRPr="00000000" w14:paraId="0000001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such other date as the Authority may specify,</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provide to the Authority a list of the Supplier Staff that the Supplier believes will transfer to the Authority or a Replacement Supplier as a result of the Service Transfer, together with Staffing Information in relation to such Supplier Staff;</w:t>
      </w:r>
    </w:p>
    <w:p w:rsidR="00000000" w:rsidDel="00000000" w:rsidP="00000000" w:rsidRDefault="00000000" w:rsidRPr="00000000" w14:paraId="0000001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[45.1.2] it shall, in respect of the information provided under Clause 2.5.1, provide updated information at such intervals as are reasonably requested by the Authority until the final list is provided pursuant to Clause 2.9; and</w:t>
      </w:r>
    </w:p>
    <w:p w:rsidR="00000000" w:rsidDel="00000000" w:rsidP="00000000" w:rsidRDefault="00000000" w:rsidRPr="00000000" w14:paraId="0000001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[45.1.3] the Authority shall be permitted to use and disclose information provided by the Supplier under this Clause 2.4 for informing any tenderer or other prospective Replacement Supplier for any services which are substantially the same type of services (or any part thereof) as the Authority Services and/or the Customer Services.</w:t>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[45.2] The Supplier warrants, for the benefit of the Authority and any Replacement Supplier, that the information provided under Clause 2.4 shall be complete, true and accurate in all material respects.</w:t>
      </w:r>
    </w:p>
    <w:p w:rsidR="00000000" w:rsidDel="00000000" w:rsidP="00000000" w:rsidRDefault="00000000" w:rsidRPr="00000000" w14:paraId="0000001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[45.3] From the date of the earliest event referred to in Clause 2.5.1, the Supplier agrees, for the benefit of the Authority and any Replacement Supplier, that the Supplier shall not, and agrees to procure that its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Sub-Contractors</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shall not, other than in the ordinary course of business, in respect of the Supplier Staff engaged in the provision of the Authority Services and/or Customer Services:</w:t>
      </w:r>
    </w:p>
    <w:p w:rsidR="00000000" w:rsidDel="00000000" w:rsidP="00000000" w:rsidRDefault="00000000" w:rsidRPr="00000000" w14:paraId="0000001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[45.3.1] replace or re-deploy them other than where any replacement is of equivalent grade, skills, experience and expertise;</w:t>
      </w:r>
    </w:p>
    <w:p w:rsidR="00000000" w:rsidDel="00000000" w:rsidP="00000000" w:rsidRDefault="00000000" w:rsidRPr="00000000" w14:paraId="0000001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[45.3.2] make, promise, propose or permit any changes to their terms and conditions of employment (including any payments connected with the termination of employment);</w:t>
      </w:r>
    </w:p>
    <w:p w:rsidR="00000000" w:rsidDel="00000000" w:rsidP="00000000" w:rsidRDefault="00000000" w:rsidRPr="00000000" w14:paraId="0000001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[45.3.3] increase the proportion of their working time spent on the Authority Services and/or the Customer Services (or the relevant part) save for fulfilling assignments and projects previously scheduled and agreed;</w:t>
      </w:r>
    </w:p>
    <w:p w:rsidR="00000000" w:rsidDel="00000000" w:rsidP="00000000" w:rsidRDefault="00000000" w:rsidRPr="00000000" w14:paraId="0000001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[45.3.4] introduce any new contractual or customary practice concerning the making of any lump sum payment on the termination of their employment; and</w:t>
      </w:r>
    </w:p>
    <w:p w:rsidR="00000000" w:rsidDel="00000000" w:rsidP="00000000" w:rsidRDefault="00000000" w:rsidRPr="00000000" w14:paraId="0000001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[45.3.5] increase or reduce the total number of Supplier Staff so engaged, replace any Supplier Staff so engaged or deploy any other person to perform the Services (or the relevant part) or terminate or give notice to terminate the employment or contracts of any persons on engaged (save for replacing voluntary resignations or Supplier Staff terminated by due disciplinary process to satisfy the fulfilment of previously agreed work streams provided that any replacement is employed on the same terms and conditions of employment as the person he/she replaces).</w:t>
      </w:r>
    </w:p>
    <w:p w:rsidR="00000000" w:rsidDel="00000000" w:rsidP="00000000" w:rsidRDefault="00000000" w:rsidRPr="00000000" w14:paraId="0000001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[45.4] The Supplier will promptly notify the Authority of any notice to terminate employment given by the Supplier or any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or received from any persons listed in the information provided under Clause 2.4. The Supplier shall and shall procure that any Sub-Contractor shall comply with its/their duties to provide employee liability information in accordance with Regulation 11 of TUPE.</w:t>
      </w:r>
    </w:p>
    <w:p w:rsidR="00000000" w:rsidDel="00000000" w:rsidP="00000000" w:rsidRDefault="00000000" w:rsidRPr="00000000" w14:paraId="0000001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[45.5] At least 30 days prior to the Service Transfer Date, the Supplier shall provide to the Authority and any Replacement Supplier final list of the names of all Transferring Supplier Employees which shall be complete, accurate and up to date (the </w:t>
      </w: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Final Exit List</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and the Supplier shall immediately notify the Authority and any Replacement Supplier of:</w:t>
      </w:r>
    </w:p>
    <w:p w:rsidR="00000000" w:rsidDel="00000000" w:rsidP="00000000" w:rsidRDefault="00000000" w:rsidRPr="00000000" w14:paraId="0000001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[45.5.1] any changes to the Final Exit List prior to the Service Transfer Date;</w:t>
      </w:r>
    </w:p>
    <w:p w:rsidR="00000000" w:rsidDel="00000000" w:rsidP="00000000" w:rsidRDefault="00000000" w:rsidRPr="00000000" w14:paraId="0000002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[45.5.2] each Transferring Supplier Employee (if any) whose name is on the Final Exit List but who after provision of the Final Exit List but later objects to a transfer pursuant to Regulation 4(7) of TUPE prior to the Service Transfer Date; and</w:t>
      </w:r>
    </w:p>
    <w:p w:rsidR="00000000" w:rsidDel="00000000" w:rsidP="00000000" w:rsidRDefault="00000000" w:rsidRPr="00000000" w14:paraId="0000002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[45.5.3] each Transferring Supplier Employee (if any) whose name is on the Final Exit List but who has given or been given notice of termination of his/her employment after provision of the Final Exit List but prior to the Service Transfer Date.</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[45.6] As soon as reasonably practicable following the Service Transfer Date, the Supplier will provide to the Authority or any Replacement Supplier, in respect of any Transferring Supplier Employee:</w:t>
      </w:r>
    </w:p>
    <w:p w:rsidR="00000000" w:rsidDel="00000000" w:rsidP="00000000" w:rsidRDefault="00000000" w:rsidRPr="00000000" w14:paraId="0000002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[45.6.1] the most recent Month's copy pay slip data;</w:t>
      </w:r>
    </w:p>
    <w:p w:rsidR="00000000" w:rsidDel="00000000" w:rsidP="00000000" w:rsidRDefault="00000000" w:rsidRPr="00000000" w14:paraId="0000002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[45.6.2] details of cumulative pay for tax and pension purposes;</w:t>
      </w:r>
    </w:p>
    <w:p w:rsidR="00000000" w:rsidDel="00000000" w:rsidP="00000000" w:rsidRDefault="00000000" w:rsidRPr="00000000" w14:paraId="0000002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[45.6.3] details of cumulative tax paid;</w:t>
      </w:r>
    </w:p>
    <w:p w:rsidR="00000000" w:rsidDel="00000000" w:rsidP="00000000" w:rsidRDefault="00000000" w:rsidRPr="00000000" w14:paraId="0000002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[45.6.4] tax code;</w:t>
      </w:r>
    </w:p>
    <w:p w:rsidR="00000000" w:rsidDel="00000000" w:rsidP="00000000" w:rsidRDefault="00000000" w:rsidRPr="00000000" w14:paraId="0000002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[45.6.5] details of any voluntary deductions from pay; and</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[45.6.6] bank/building society account details for payroll purposes.</w:t>
      </w:r>
    </w:p>
    <w:p w:rsidR="00000000" w:rsidDel="00000000" w:rsidP="00000000" w:rsidRDefault="00000000" w:rsidRPr="00000000" w14:paraId="0000002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[45.7] The Supplier warrants for itself and for and on behalf of the Sub-Contractors that they have complied and will comply with all duties to comply with employee identification checks, and the Immigration, Asylum and Nationality Act 2006 and has obtained evidence that all personnel have permission to work in the United Kingdom up to and including the Service Transfer Date. The Supplier shall indemnify and keep the Authority and any Replacement Supplier indemnified in full and on demand against any Employee Liabilities incurred (or to be incurred) by them and which arise out of or in connection with the breach of this Clause 2.11.</w:t>
      </w:r>
    </w:p>
    <w:p w:rsidR="00000000" w:rsidDel="00000000" w:rsidP="00000000" w:rsidRDefault="00000000" w:rsidRPr="00000000" w14:paraId="0000002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[46.1] If TUPE applies on a Service Transfer Date, the Authority and the Supplier agree that the contracts of employment between the Supplier and the Transferring Supplier Employees (except in relation to any contract terms relating to occupational pension schemes) will have effect from the Service Transfer Date as if originally made between the Replacement Supplier and each such Transferring Supplier Employee.</w:t>
      </w:r>
    </w:p>
    <w:p w:rsidR="00000000" w:rsidDel="00000000" w:rsidP="00000000" w:rsidRDefault="00000000" w:rsidRPr="00000000" w14:paraId="0000002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[46.2] The Supplier shall, and shall procure that any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shall, perform and discharge all its obligations in respect of all the Transferring Supplier Employees up to and including the Service Transfer Date and any necessary apportionments in respect of any periodic payments due to them will be made.</w:t>
      </w:r>
    </w:p>
    <w:p w:rsidR="00000000" w:rsidDel="00000000" w:rsidP="00000000" w:rsidRDefault="00000000" w:rsidRPr="00000000" w14:paraId="0000002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1"/>
          <w:smallCaps w:val="0"/>
          <w:strike w:val="0"/>
          <w:color w:val="000000"/>
          <w:sz w:val="20"/>
          <w:szCs w:val="20"/>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 The Supplier shall indemnify and keep the Authority for itself and on behalf of any Replacement Supplier indemnified against any Employee Liabilities in respect of:</w:t>
      </w:r>
    </w:p>
    <w:p w:rsidR="00000000" w:rsidDel="00000000" w:rsidP="00000000" w:rsidRDefault="00000000" w:rsidRPr="00000000" w14:paraId="0000002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any act or omission by the Supplier or any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occurring on or before the Service Transfer Date in respect of the Transferring Supplier Employees;</w:t>
      </w:r>
    </w:p>
    <w:p w:rsidR="00000000" w:rsidDel="00000000" w:rsidP="00000000" w:rsidRDefault="00000000" w:rsidRPr="00000000" w14:paraId="0000002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[46.3.2] any claim made by or in respect of any person employed or formerly employed by the Supplier or any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other than a Transferring Supplier Employee whose employment or claims or liabilities arising out of their employment or its termination transfer to the Authority or any Replacement Supplier pursuant to or by virtue of TUPE or who claim that their employment or those claims or liabilities transfer;</w:t>
      </w:r>
    </w:p>
    <w:p w:rsidR="00000000" w:rsidDel="00000000" w:rsidP="00000000" w:rsidRDefault="00000000" w:rsidRPr="00000000" w14:paraId="0000002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[46.3.3] any claim made by or in respect of a Transferring Supplier Employee or any appropriate employee representative (as defined in TUPE) of any Transferring Supplier Employee relating to any act or omission of the Supplier or any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in relation to its or their obligations under TUPE whether occurring before, on or after the Service Transfer Date including any claim relating to its or their obligations under Regulation 13 or 14 of TUPE or in respect of an award of compensation under Regulation 15 of TUPE except to the extent that the liability arises from the Authority's or any Replacement Supplier's failure to comply with Regulation 13(4) of TUPE;</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[46.3.4] any act or proposal by the Supplier and/or any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which amounts to a repudiatory breach of contract as referred to in Regulation 4(11) of TUPE and/or to make a substantial change in working conditions of any Transferring Supplier Employee to the material detriment of that Transferring Supplier Employee (and for the purposes of this sub-clause the expressions "repudiatory breach", "substantial change" and "material detriment" shall have the same meanings as for the purposes of Regulation 4(9) and 4(11) of TUPE);</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[46.3.5] any statement communicated to or action undertaken by the Supplier (and/or any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to, or in respect of, any Transferring Supplier Employee on or before the Service Transfer Date regarding the Service Transfer which has not been agreed in advance with the Authority in writing;</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[46.3.6] any proposed change by the Supplier (and/or any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in the working conditions or terms and conditions of employment of any Transferring Supplier Employees to take effect after the Service Transfer Date (including any claim for constructive dismissal), whether such change is proposed before or after the Service Transfer Date;</w:t>
      </w:r>
    </w:p>
    <w:p w:rsidR="00000000" w:rsidDel="00000000" w:rsidP="00000000" w:rsidRDefault="00000000" w:rsidRPr="00000000" w14:paraId="0000003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[46.3.7] a failure of the Supplier to discharge or procure the discharge of all wages, salaries and all other benefits and all PAYE tax deductions and National Insurance contributions relating to the Transferring Supplier Employees in respect of the period on or before the Service Transfer Date;</w:t>
      </w:r>
    </w:p>
    <w:p w:rsidR="00000000" w:rsidDel="00000000" w:rsidP="00000000" w:rsidRDefault="00000000" w:rsidRPr="00000000" w14:paraId="0000003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[46.3.8] any fact or matter concerning or arising from the Transferring Supplier Employees employment, or the termination thereof, on or before the Service Transfer Date including any claim for a redundancy payment;</w:t>
      </w:r>
    </w:p>
    <w:p w:rsidR="00000000" w:rsidDel="00000000" w:rsidP="00000000" w:rsidRDefault="00000000" w:rsidRPr="00000000" w14:paraId="0000003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[46.3.9] any breach or non-observance by the Supplier (and/or its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Sub-Contractors</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during the period prior to the Service Transfer Date of any collective agreement or other custom or practice with a trade union or staff association in respect of any Transferring Supplier Employees; and</w:t>
      </w:r>
    </w:p>
    <w:p w:rsidR="00000000" w:rsidDel="00000000" w:rsidP="00000000" w:rsidRDefault="00000000" w:rsidRPr="00000000" w14:paraId="0000003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[46.3.10] any act, proposal or communication made by:</w:t>
      </w:r>
    </w:p>
    <w:p w:rsidR="00000000" w:rsidDel="00000000" w:rsidP="00000000" w:rsidRDefault="00000000" w:rsidRPr="00000000" w14:paraId="0000003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the Supplier and/or its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Sub-Contractors</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and/or</w:t>
      </w:r>
    </w:p>
    <w:p w:rsidR="00000000" w:rsidDel="00000000" w:rsidP="00000000" w:rsidRDefault="00000000" w:rsidRPr="00000000" w14:paraId="0000003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the Authority or the Replacement Supplier or either of their sub-contractors (which is made as a result of any act, proposal or communication made by the Supplier and/or its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Sub-Contractors</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whether before or after the Service Transfer Date which relates to pension provision for any Transferring Supplier Employee.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3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be liable for and indemnify and keep indemnified the Authority and any Third Party Employer in full on demand from and against any Employment Liabilities arising from and including the date of any Relevant Transfer, including those arising from or as a consequence of:</w:t>
      </w:r>
    </w:p>
    <w:p w:rsidR="00000000" w:rsidDel="00000000" w:rsidP="00000000" w:rsidRDefault="00000000" w:rsidRPr="00000000" w14:paraId="0000003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proposed changes to terms and conditions of employment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may consider taking on or after the Service Commencement Date;</w:t>
      </w:r>
    </w:p>
    <w:p w:rsidR="00000000" w:rsidDel="00000000" w:rsidP="00000000" w:rsidRDefault="00000000" w:rsidRPr="00000000" w14:paraId="000000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of the employees of any Third Party Employer (including Third Party Employees) informing the Authority and/or any Third Party Employer that they object to being employed by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w:t>
      </w:r>
    </w:p>
    <w:p w:rsidR="00000000" w:rsidDel="00000000" w:rsidP="00000000" w:rsidRDefault="00000000" w:rsidRPr="00000000" w14:paraId="0000003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change in identity of the Third Party Employees' employer as a result of the operation of the Employment Regulations or as a result of any measures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may consider taking on or after the Service Commencement Date.</w:t>
      </w:r>
    </w:p>
    <w:p w:rsidR="00000000" w:rsidDel="00000000" w:rsidP="00000000" w:rsidRDefault="00000000" w:rsidRPr="00000000" w14:paraId="0000003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be liable for and indemnify and keep indemnified in full on demand the Authority and any Third Party Employer from and against any failure to meet all remuneration, benefits, entitlements and outgoings for the Third Party Employees, and any other person who is or will be employed or engaged by the Supplier in connection with the provision of the Services, including all wages, holiday pay, bonuses, commissions, payments of PAYE, national insurance contributions, pensions contributions, termination costs and otherwise from and including the date of any Relevant Transfer.</w:t>
      </w:r>
    </w:p>
    <w:p w:rsidR="00000000" w:rsidDel="00000000" w:rsidP="00000000" w:rsidRDefault="00000000" w:rsidRPr="00000000" w14:paraId="0000003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immediately on request by the Authority and/or the Third Party Employer provide details of any measures that the Supplier envisages it will take in relation to any Third Party Employees, including any proposed changes to terms and conditions of employment. If there are no measures the Supplier will give confirmation of that fact and shall indemnify the Authority and any Third Party Employer in full on demand from and against all Employment Liabilities resulting from any failure by it to comply with this obligation.</w:t>
      </w:r>
    </w:p>
    <w:p w:rsidR="00000000" w:rsidDel="00000000" w:rsidP="00000000" w:rsidRDefault="00000000" w:rsidRPr="00000000" w14:paraId="0000004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2et92p0" w:id="4"/>
      <w:bookmarkEnd w:id="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Application of the Employment Regulations on termination or at the end of the Term</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Framework Agreement envisages that, following commencement of the provision of the Services, the identity of the provider of the Services (or any part of the Services) may change (whether as a result of termination of this Framework Agreement, or part of it, or otherwise) resulting in the Services or similar services being undertaken by the Authority or a Nominated Supplier. Such change in the identity of the supplier of such services shall be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Service Transfer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Parties acknowledge that a Service Transfer may be a Relevant Transfer and, in such event, the Authority or a Nominated Supplier (and/or any NS Sub-Contractor) will inherit liabilities in respect of the Transferring Supplier Employees. Accordingly, the Employment Regulations may apply.</w:t>
      </w:r>
    </w:p>
    <w:p w:rsidR="00000000" w:rsidDel="00000000" w:rsidP="00000000" w:rsidRDefault="00000000" w:rsidRPr="00000000" w14:paraId="0000004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Pre-Service Transfer obligations</w:t>
      </w:r>
    </w:p>
    <w:p w:rsidR="00000000" w:rsidDel="00000000" w:rsidP="00000000" w:rsidRDefault="00000000" w:rsidRPr="00000000" w14:paraId="00000043">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agrees that within twenty (20) Working Days of the earliest of:</w:t>
      </w:r>
    </w:p>
    <w:p w:rsidR="00000000" w:rsidDel="00000000" w:rsidP="00000000" w:rsidRDefault="00000000" w:rsidRPr="00000000" w14:paraId="0000004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receipt of a notification from the Authority of a Service Transfer or intended Service Transfer;</w:t>
      </w:r>
    </w:p>
    <w:p w:rsidR="00000000" w:rsidDel="00000000" w:rsidP="00000000" w:rsidRDefault="00000000" w:rsidRPr="00000000" w14:paraId="0000004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receipt of the giving of notice of early termination of this Framework Agreement or any part of it;</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date which is twelve (12) months before the end of the Term; or</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receipt of a written request of the Authority at any time (provided that the Authority shall only be entitled to make one such request in any six (6) month period),</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will provide the Supplier's Provisional Staff List and the Staffing Information to the Authority and/or, at the direction of the Authority, to a Nominated Supplier (or prospective Nominated Supplier) and it will provide an updated Supplier's Provisional Staff List at such intervals as are reasonably requested by the Authority.</w:t>
      </w:r>
    </w:p>
    <w:p w:rsidR="00000000" w:rsidDel="00000000" w:rsidP="00000000" w:rsidRDefault="00000000" w:rsidRPr="00000000" w14:paraId="0000004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least twenty eight (28) Working Days prior to the Service Transfer Date the Supplier shall prepare and provide to the Authority and/or, at the direction of the Authority the Nominated Supplier (and/or any NS Sub-Contractor), the Supplier's Final Staff List and Staffing Information, which the Supplier hereby warrants shall be complete and accurate in all material respects.</w:t>
      </w:r>
    </w:p>
    <w:p w:rsidR="00000000" w:rsidDel="00000000" w:rsidP="00000000" w:rsidRDefault="00000000" w:rsidRPr="00000000" w14:paraId="0000004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compliance with the Data Protection Legislation the Authority shall be permitted to use and disclose the Supplier's Provisional Staff List, the Supplier's Final Staff List and the Staffing Information for informing any Award Questionnaire Response or other prospective Nominated Supplier for any services which are substantially the same type of services (or any part thereof) as the Services, provided that the Authority imposes on such third party obligations of confidence that are no less onerous than the Authority has to the Supplier in relation to that information.</w:t>
      </w:r>
    </w:p>
    <w:p w:rsidR="00000000" w:rsidDel="00000000" w:rsidP="00000000" w:rsidRDefault="00000000" w:rsidRPr="00000000" w14:paraId="0000004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Upon reasonable request by the Authority and subject to compliance with the Data Protection Legislation, the Supplier shall provide the Authority or at the request of the Authority, the Nominated Supplier, with access (on reasonable notice and during normal working hours) to such employment records as the Authority reasonably requests and will allow the Authority or the Nominated Supplier (and/or any NS Sub-Contractor) to have copies of any such documents.</w:t>
      </w:r>
    </w:p>
    <w:p w:rsidR="00000000" w:rsidDel="00000000" w:rsidP="00000000" w:rsidRDefault="00000000" w:rsidRPr="00000000" w14:paraId="0000004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warrants that the Supplier's Provisional Staff List, the Supplier's Final Staff List and the Staffing Information will be true and accurate and complete in all material respects.</w:t>
      </w:r>
    </w:p>
    <w:p w:rsidR="00000000" w:rsidDel="00000000" w:rsidP="00000000" w:rsidRDefault="00000000" w:rsidRPr="00000000" w14:paraId="0000004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From the date of the earliest event or date referred to in Paragraph 4.1 the Supplier agrees that it will not (and it shall procure that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will not), other than in the ordinary course of business, assign any person to the provision of the Services (or the relevant part) which is the subject of a Service Transfer who is not listed in the Supplier's Provisional Staff List and will not, other than in the ordinary course of business or with the prior written consent  of the Authority (with the Authority having the sole and absolute right to grant or deny such request):</w:t>
      </w:r>
    </w:p>
    <w:p w:rsidR="00000000" w:rsidDel="00000000" w:rsidP="00000000" w:rsidRDefault="00000000" w:rsidRPr="00000000" w14:paraId="0000004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increase the total number of employees listed on the Supplier's Provisional Staff List save for fulfilling assignments and projects previously scheduled and agreed;</w:t>
      </w:r>
    </w:p>
    <w:p w:rsidR="00000000" w:rsidDel="00000000" w:rsidP="00000000" w:rsidRDefault="00000000" w:rsidRPr="00000000" w14:paraId="0000004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make, propose or permit any material changes to the terms and conditions of employment of any employees listed on the Supplier's Provisional Staff List;</w:t>
      </w:r>
    </w:p>
    <w:p w:rsidR="00000000" w:rsidDel="00000000" w:rsidP="00000000" w:rsidRDefault="00000000" w:rsidRPr="00000000" w14:paraId="0000005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increase the proportion of working time spent on the Services (or the relevant part) by any of the Supplier Staff listed on the Supplier's Provisional Staff List save for fulfilling assignments and projects previously scheduled and agreed;</w:t>
      </w:r>
    </w:p>
    <w:p w:rsidR="00000000" w:rsidDel="00000000" w:rsidP="00000000" w:rsidRDefault="00000000" w:rsidRPr="00000000" w14:paraId="0000005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Staff List; or</w:t>
      </w:r>
    </w:p>
    <w:p w:rsidR="00000000" w:rsidDel="00000000" w:rsidP="00000000" w:rsidRDefault="00000000" w:rsidRPr="00000000" w14:paraId="0000005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replace any Supplier Staff listed on the Supplier's Provisional Staff List or deploy any other person to perform the Services (or the relevant part) or terminate or give notice to terminate the employment or contracts of any persons on the Supplier's Provisional Staff List save for:</w:t>
      </w:r>
    </w:p>
    <w:p w:rsidR="00000000" w:rsidDel="00000000" w:rsidP="00000000" w:rsidRDefault="00000000" w:rsidRPr="00000000" w14:paraId="0000005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execution of assigned operations as detailed in Paragraphs 4.6.1 and 4.6.3; and</w:t>
      </w:r>
    </w:p>
    <w:p w:rsidR="00000000" w:rsidDel="00000000" w:rsidP="00000000" w:rsidRDefault="00000000" w:rsidRPr="00000000" w14:paraId="0000005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replacing voluntary resignations or staff terminated by due disciplinary process to satisfy the fulfilment of previously agreed work streams provided that any replacement is employed on the same terms and conditions of employment as the person he/she replaces.</w:t>
      </w:r>
    </w:p>
    <w:p w:rsidR="00000000" w:rsidDel="00000000" w:rsidP="00000000" w:rsidRDefault="00000000" w:rsidRPr="00000000" w14:paraId="0000005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 promptly notify the Authority and/or, at the direction of the Authority, the Nominated Supplier of any notice to terminate employment given to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or received from any persons listed on the Supplier's Provisional Staff List regardless of when such notice takes effect.</w:t>
      </w:r>
    </w:p>
    <w:p w:rsidR="00000000" w:rsidDel="00000000" w:rsidP="00000000" w:rsidRDefault="00000000" w:rsidRPr="00000000" w14:paraId="0000005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least fourteen (14) Working Days before the expected Service Transfer Date, the Supplier will provide to the Authority or any Nominated Supplier (and any NS Sub-Contractor), in respect of each person on the Supplier's Final Staff List who is a Transferring Employee:</w:t>
      </w:r>
    </w:p>
    <w:p w:rsidR="00000000" w:rsidDel="00000000" w:rsidP="00000000" w:rsidRDefault="00000000" w:rsidRPr="00000000" w14:paraId="0000005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most recent month's copy pay slip data;</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details of cumulative pay for tax and pension purposes;</w:t>
      </w:r>
    </w:p>
    <w:p w:rsidR="00000000" w:rsidDel="00000000" w:rsidP="00000000" w:rsidRDefault="00000000" w:rsidRPr="00000000" w14:paraId="0000005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details of cumulative tax paid;</w:t>
      </w:r>
    </w:p>
    <w:p w:rsidR="00000000" w:rsidDel="00000000" w:rsidP="00000000" w:rsidRDefault="00000000" w:rsidRPr="00000000" w14:paraId="0000005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tax code;</w:t>
      </w:r>
    </w:p>
    <w:p w:rsidR="00000000" w:rsidDel="00000000" w:rsidP="00000000" w:rsidRDefault="00000000" w:rsidRPr="00000000" w14:paraId="0000005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details of any voluntary deductions from pay; and</w:t>
      </w:r>
    </w:p>
    <w:p w:rsidR="00000000" w:rsidDel="00000000" w:rsidP="00000000" w:rsidRDefault="00000000" w:rsidRPr="00000000" w14:paraId="0000005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bank/building society account details for payroll purposes.</w:t>
      </w:r>
    </w:p>
    <w:p w:rsidR="00000000" w:rsidDel="00000000" w:rsidP="00000000" w:rsidRDefault="00000000" w:rsidRPr="00000000" w14:paraId="0000005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warrants for itself and for and on behalf of the Sub-Contractors that they have in all respects complied with and shall continue to comply with all  obligations under the Asylum and Immigration Act 1996, the Immigration, Asylum and Nationality Act 2006 and/or the Immigration (Restrictions on Employment) Order 2007 (as applicable and amended) and has obtained evidence that all personnel have permission to work in the United Kingdom and where applicable, secured a statutory excuse to illegal working in respect of each personnel up to and including the Service Transfer Date. The Supplier shall indemnify and keep the Authority and the Nominated Supplier and any NS Sub-Contractor indemnified in full and on demand against any Employee Liabilities incurred (or to be incurred) by them and which arise out of or in connection with the breach of this Paragraph 4.9.</w:t>
      </w:r>
    </w:p>
    <w:p w:rsidR="00000000" w:rsidDel="00000000" w:rsidP="00000000" w:rsidRDefault="00000000" w:rsidRPr="00000000" w14:paraId="0000005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The Supplier's indemnity</w:t>
      </w:r>
    </w:p>
    <w:p w:rsidR="00000000" w:rsidDel="00000000" w:rsidP="00000000" w:rsidRDefault="00000000" w:rsidRPr="00000000" w14:paraId="0000005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connection with a Relevant Transfer under Paragraph 3, the Parties agree that:</w:t>
      </w:r>
    </w:p>
    <w:p w:rsidR="00000000" w:rsidDel="00000000" w:rsidP="00000000" w:rsidRDefault="00000000" w:rsidRPr="00000000" w14:paraId="0000006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(and shall procure that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 perform and discharge all its obligations in respect of all of the Transferring Supplier Employees and their representatives for its own account up to and including the Service Transfer Date. The Supplier will indemnify the Authority and any Nominated Supplier and any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full on demand from and against all Employment Liabilities arising from the Supplier's failure to perform and discharge any such obligation and against any Employment Liabilities in respect of the  Transferring Supplier Employees arising from or as a result of:</w:t>
      </w:r>
    </w:p>
    <w:p w:rsidR="00000000" w:rsidDel="00000000" w:rsidP="00000000" w:rsidRDefault="00000000" w:rsidRPr="00000000" w14:paraId="0000006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act or omission by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occurring on or before the Service Transfer Date or any other matter, event or circumstance occurring or having its origin before the Service Transfer Date save simply for accrual of service before that date;</w:t>
      </w:r>
    </w:p>
    <w:p w:rsidR="00000000" w:rsidDel="00000000" w:rsidP="00000000" w:rsidRDefault="00000000" w:rsidRPr="00000000" w14:paraId="0000006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and any Employment Liabilities in respect of all emoluments and outgoings in relation to the Transferring Supplier Employees (including all wages, bonuses, PAYE, national insurance contributions, pension contributions and otherwise) payable in respect of any period on or before the Service Transfer Date;</w:t>
      </w:r>
    </w:p>
    <w:p w:rsidR="00000000" w:rsidDel="00000000" w:rsidP="00000000" w:rsidRDefault="00000000" w:rsidRPr="00000000" w14:paraId="0000006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claim arising out of the provision of, or proposal by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offer any change to any benefit, term or condition or working condition of any Transferring Supplier Employee arising on or before the Service Transfer Date;</w:t>
      </w:r>
    </w:p>
    <w:p w:rsidR="00000000" w:rsidDel="00000000" w:rsidP="00000000" w:rsidRDefault="00000000" w:rsidRPr="00000000" w14:paraId="0000006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claim made by or in respect of any person employed or formerly employed by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other than any person identified as a Transferring Supplier Employee on the Supplier's Final Staff List for which it is alleged the Authority or any Nominated Supplier or any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may be liable by virtue of this Framework Agreement and/or any Customer Contract and/or the Employment Regulations;</w:t>
      </w:r>
    </w:p>
    <w:p w:rsidR="00000000" w:rsidDel="00000000" w:rsidP="00000000" w:rsidRDefault="00000000" w:rsidRPr="00000000" w14:paraId="0000006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 indemnify the Authority and any Nominated Supplier and any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full on demand from and against all Employment Liabilities arising from:</w:t>
      </w:r>
    </w:p>
    <w:p w:rsidR="00000000" w:rsidDel="00000000" w:rsidP="00000000" w:rsidRDefault="00000000" w:rsidRPr="00000000" w14:paraId="0000006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act or omission of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or any NS Sub-Contractor's, in relation to its obligations under Regulations 13 and 14 of the Employment Regulations, or in respect of an award of compensation under Regulation 15 of the Employment Regulations except to the extent that the liability arises from the Authority or a Nominated Supplier's failure to comply with Regulation 13(4) of the Employment Regulations; and</w:t>
      </w:r>
    </w:p>
    <w:p w:rsidR="00000000" w:rsidDel="00000000" w:rsidP="00000000" w:rsidRDefault="00000000" w:rsidRPr="00000000" w14:paraId="0000006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statement communicated to or action done by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or in respect of, any Transferring Supplier Employee on or before the Service Transfer Date regarding the Service Transfer which has not been agreed in advance with the Authority in writing.</w:t>
      </w:r>
    </w:p>
    <w:p w:rsidR="00000000" w:rsidDel="00000000" w:rsidP="00000000" w:rsidRDefault="00000000" w:rsidRPr="00000000" w14:paraId="0000006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 indemnify the Authority and any Nominated Supplier and any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full on demand from and against any Employment Liabilities arising from any act or omission of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relation to any other Supplier Staff who is not a Transferring Supplier Employee (or who is not identified as a Transferring Supplier Employee on the Supplier's Final Staff List) during any period whether before, on or after the Service Transfer Date.</w:t>
      </w:r>
    </w:p>
    <w:p w:rsidR="00000000" w:rsidDel="00000000" w:rsidP="00000000" w:rsidRDefault="00000000" w:rsidRPr="00000000" w14:paraId="0000006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any person who is not a Transferring Employee (or who is not identified as a Transferring Supplier Employee on the Supplier's Final Staff List) claims or it is determined that his contract of employment has been transferred from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the Authority, or a Nominated Supplier or any NS Sub-Contractor pursuant to a Relevant Transfer, or claims that his employment would have so transferred had he not resigned, then:</w:t>
      </w:r>
    </w:p>
    <w:p w:rsidR="00000000" w:rsidDel="00000000" w:rsidP="00000000" w:rsidRDefault="00000000" w:rsidRPr="00000000" w14:paraId="0000006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or the Nominated Supplier will, within seven (7) Working Days of becoming aware of that fact, give notice in writing to the Supplier;</w:t>
      </w:r>
    </w:p>
    <w:p w:rsidR="00000000" w:rsidDel="00000000" w:rsidP="00000000" w:rsidRDefault="00000000" w:rsidRPr="00000000" w14:paraId="0000006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may offer employment to such person within twenty-one (21) Working Days of the notification by the Authority or the Nominated Supplier;</w:t>
      </w:r>
    </w:p>
    <w:p w:rsidR="00000000" w:rsidDel="00000000" w:rsidP="00000000" w:rsidRDefault="00000000" w:rsidRPr="00000000" w14:paraId="0000006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such offer of employment is accepted, the Authority or the Nominated Supplier or the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 immediately release the person from his employment;</w:t>
      </w:r>
    </w:p>
    <w:p w:rsidR="00000000" w:rsidDel="00000000" w:rsidP="00000000" w:rsidRDefault="00000000" w:rsidRPr="00000000" w14:paraId="0000006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period set out in Paragraph 5.3.2 has elapsed and either: (i) no such offer of employment has been made; or (ii) such offer has been made but has not been accepted, the Authority or the Nominated Supplier or any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may within seven (7) Working Days give notice to terminate the employment of such person;</w:t>
      </w:r>
    </w:p>
    <w:p w:rsidR="00000000" w:rsidDel="00000000" w:rsidP="00000000" w:rsidRDefault="00000000" w:rsidRPr="00000000" w14:paraId="0000006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the Authority or the Nominated Supplier acting in the way set out in this Paragraph 5.3 or in such other way as may be agreed between the Supplier and the Authority or the Nominated Supplier, the Supplier will indemnify the Authority and the Nominated Supplier and any NS Sub-Contractor in full on demand from and against:</w:t>
      </w:r>
    </w:p>
    <w:p w:rsidR="00000000" w:rsidDel="00000000" w:rsidP="00000000" w:rsidRDefault="00000000" w:rsidRPr="00000000" w14:paraId="0000006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Employment Liabilities arising out of such termination or otherwise arising out of the employment of such person by the Authority or a Nominated Supplier or the NS Sub-Contractor; and/or</w:t>
      </w:r>
    </w:p>
    <w:p w:rsidR="00000000" w:rsidDel="00000000" w:rsidP="00000000" w:rsidRDefault="00000000" w:rsidRPr="00000000" w14:paraId="0000007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direct employment costs (if any) associated with the employment of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person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by the Authority or the Nominated Supplier or the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up to the date of termination of such person's employment.</w:t>
      </w:r>
    </w:p>
    <w:p w:rsidR="00000000" w:rsidDel="00000000" w:rsidP="00000000" w:rsidRDefault="00000000" w:rsidRPr="00000000" w14:paraId="0000007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such person is neither re-employed by the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nor dismissed by the Authority or the Nominated Supplier or the NS Sub-Contractor within the time scales set out in this Paragraph 5.3, such person will be treated as a Transferring Supplier Employee.</w:t>
      </w:r>
    </w:p>
    <w:p w:rsidR="00000000" w:rsidDel="00000000" w:rsidP="00000000" w:rsidRDefault="00000000" w:rsidRPr="00000000" w14:paraId="0000007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Mutual obligations</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co-operate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ensure that any requirement to inform and consult with the employees and or employee representatives in relation to a Relevant Transfer will be fulfilled.  The Supplier agrees that it will consent to, and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co-operate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with, pre-transfer consultation by any Nominated Supplier or any NS Sub-Contractor or the Authority under Part IV of TULRCA.</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will assume (or will procure that the Nominated Supplier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the case may be, will assume) the outstanding obligations of the Supplier or any Sub-Contractor, in relation to the Transferring Supplier Employees in respect of accrued holiday entitlements and accrued holiday remuneration to the Service Transfer Date. In consideration, the Supplier will pay to the Authority (or the Nominated Supplier as the case may be) within fourteen (14) days of the Service Transfer Date the full amount necessary to enable the Authority or the Nominated Supplier or any NS Sub-Contractor to meet the cost of providing any such untaken holiday entitlements and remuneration as at the Service Transfer Date. The Authority or the Nominated Supplier, as the case may be, will reimburse the Supplier any amount paid by the Supplier before the Service Transfer Date in respect of holidays taken in excess of any Transferring Supplier Employee's entitlement to paid holiday in respect of the period ending on the Service Transfer Date.</w:t>
      </w:r>
    </w:p>
    <w:p w:rsidR="00000000" w:rsidDel="00000000" w:rsidP="00000000" w:rsidRDefault="00000000" w:rsidRPr="00000000" w14:paraId="0000007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 provision in this Schedule imposes an obligation on the Supplier to provide an indemnity, undertaking or warranty, the Supplier shall procure that each of its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 comply with such obligation and provide such indemnity, undertaking or warranty to the Authority, Third Party Employer, or Nominated Supplier or NS Sub-Contractor, as the case may be.</w:t>
      </w:r>
    </w:p>
    <w:p w:rsidR="00000000" w:rsidDel="00000000" w:rsidP="00000000" w:rsidRDefault="00000000" w:rsidRPr="00000000" w14:paraId="0000007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Third party rights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18" w:top="1418" w:left="1418" w:right="1418" w:header="709" w:footer="709"/>
          <w:pgNumType w:start="1"/>
        </w:sect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agree that the Contracts (Right of Third Parties) Act 1999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 apply to this Schedule to the extent necessary that any Nominated Supplier and any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 have the right to enforce the obligations owed to, and indemnities given to, the Nominated Supplier or 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or by the Supplier or the Authority under this Schedule in its own right pursuant to clause 1(1) of CRTPA.</w:t>
      </w:r>
    </w:p>
    <w:p w:rsidR="00000000" w:rsidDel="00000000" w:rsidP="00000000" w:rsidRDefault="00000000" w:rsidRPr="00000000" w14:paraId="0000007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bookmarkStart w:colFirst="0" w:colLast="0" w:name="_heading=h.3rdcrjn" w:id="11"/>
      <w:bookmarkEnd w:id="11"/>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sectPr>
          <w:type w:val="nextPage"/>
          <w:pgSz w:h="16834" w:w="11909" w:orient="portrait"/>
          <w:pgMar w:bottom="1418" w:top="1418" w:left="1418" w:right="1418" w:header="709" w:footer="709"/>
        </w:sect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Staffing information</w:t>
      </w:r>
    </w:p>
    <w:p w:rsidR="00000000" w:rsidDel="00000000" w:rsidP="00000000" w:rsidRDefault="00000000" w:rsidRPr="00000000" w14:paraId="0000007A">
      <w:pPr>
        <w:keepNext w:val="1"/>
        <w:keepLines w:val="0"/>
        <w:pageBreakBefore w:val="0"/>
        <w:widowControl w:val="1"/>
        <w:pBdr>
          <w:top w:space="0" w:sz="0" w:val="nil"/>
          <w:left w:space="0" w:sz="0" w:val="nil"/>
          <w:bottom w:space="0" w:sz="0" w:val="nil"/>
          <w:right w:space="0" w:sz="0" w:val="nil"/>
          <w:between w:space="0" w:sz="0" w:val="nil"/>
        </w:pBdr>
        <w:shd w:fill="auto" w:val="clear"/>
        <w:spacing w:after="100" w:before="3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Employee information (anonymised)</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Name of Transferor:</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Number of Employees in-scope to transfer: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Completion notes</w:t>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information cannot be included on this form, attach the additional information, such as relevant policies, and cross reference to the item number and employee number where appropriate.</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1"/>
        <w:tblW w:w="13988.000000000002"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271"/>
        <w:gridCol w:w="2268"/>
        <w:gridCol w:w="1418"/>
        <w:gridCol w:w="2126"/>
        <w:gridCol w:w="1276"/>
        <w:gridCol w:w="2268"/>
        <w:gridCol w:w="1612"/>
        <w:gridCol w:w="1749"/>
        <w:tblGridChange w:id="0">
          <w:tblGrid>
            <w:gridCol w:w="1271"/>
            <w:gridCol w:w="2268"/>
            <w:gridCol w:w="1418"/>
            <w:gridCol w:w="2126"/>
            <w:gridCol w:w="1276"/>
            <w:gridCol w:w="2268"/>
            <w:gridCol w:w="1612"/>
            <w:gridCol w:w="1749"/>
          </w:tblGrid>
        </w:tblGridChange>
      </w:tblGrid>
      <w:tr>
        <w:trPr>
          <w:cantSplit w:val="0"/>
          <w:tblHeader w:val="0"/>
        </w:trPr>
        <w:tc>
          <w:tcPr>
            <w:gridSpan w:val="8"/>
            <w:shd w:fill="cccccc" w:val="cle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Employee details and key terms</w:t>
            </w:r>
          </w:p>
        </w:tc>
      </w:tr>
      <w:tr>
        <w:trPr>
          <w:cantSplit w:val="0"/>
          <w:tblHeader w:val="0"/>
        </w:trPr>
        <w:tc>
          <w:tcPr>
            <w:shd w:fill="f2f2f2" w:val="clea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Job title</w:t>
            </w:r>
          </w:p>
        </w:tc>
        <w:tc>
          <w:tcPr>
            <w:shd w:fill="cccccc" w:val="clea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Grade/band</w:t>
            </w:r>
          </w:p>
        </w:tc>
        <w:tc>
          <w:tcPr>
            <w:shd w:fill="cccccc" w:val="clea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Work location</w:t>
            </w:r>
          </w:p>
        </w:tc>
        <w:tc>
          <w:tcPr>
            <w:shd w:fill="cccccc" w:val="clea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Age</w:t>
            </w:r>
          </w:p>
        </w:tc>
        <w:tc>
          <w:tcPr>
            <w:shd w:fill="cccccc" w:val="clea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Employment status (for example, employee, fixed- term employee, self- employed, agency worker)?</w:t>
            </w:r>
          </w:p>
        </w:tc>
        <w:tc>
          <w:tcPr>
            <w:shd w:fill="cccccc" w:val="clea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Continuous service date (dd/mm/yy)</w:t>
            </w:r>
          </w:p>
        </w:tc>
        <w:tc>
          <w:tcPr>
            <w:shd w:fill="cccccc" w:val="clea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Date employment started with existing employer</w:t>
            </w:r>
          </w:p>
        </w:tc>
      </w:tr>
      <w:tr>
        <w:trPr>
          <w:cantSplit w:val="0"/>
          <w:tblHeader w:val="0"/>
        </w:trPr>
        <w:tc>
          <w:tcPr>
            <w:shd w:fill="f2f2f2" w:val="clea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2"/>
        <w:tblW w:w="13988.000000000002"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271"/>
        <w:gridCol w:w="1701"/>
        <w:gridCol w:w="1418"/>
        <w:gridCol w:w="1559"/>
        <w:gridCol w:w="1843"/>
        <w:gridCol w:w="1842"/>
        <w:gridCol w:w="2605"/>
        <w:gridCol w:w="1749"/>
        <w:tblGridChange w:id="0">
          <w:tblGrid>
            <w:gridCol w:w="1271"/>
            <w:gridCol w:w="1701"/>
            <w:gridCol w:w="1418"/>
            <w:gridCol w:w="1559"/>
            <w:gridCol w:w="1843"/>
            <w:gridCol w:w="1842"/>
            <w:gridCol w:w="2605"/>
            <w:gridCol w:w="1749"/>
          </w:tblGrid>
        </w:tblGridChange>
      </w:tblGrid>
      <w:tr>
        <w:trPr>
          <w:cantSplit w:val="0"/>
          <w:tblHeader w:val="0"/>
        </w:trPr>
        <w:tc>
          <w:tcPr>
            <w:gridSpan w:val="8"/>
            <w:shd w:fill="cccccc" w:val="clea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Employee details and key terms</w:t>
            </w:r>
          </w:p>
        </w:tc>
      </w:tr>
      <w:tr>
        <w:trPr>
          <w:cantSplit w:val="0"/>
          <w:tblHeader w:val="0"/>
        </w:trPr>
        <w:tc>
          <w:tcPr>
            <w:shd w:fill="f2f2f2" w:val="clea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 end date (if fixed term contract or temporary contract)</w:t>
            </w:r>
          </w:p>
        </w:tc>
        <w:tc>
          <w:tcPr>
            <w:shd w:fill="cccccc" w:val="clea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Contractual notice period</w:t>
            </w:r>
          </w:p>
        </w:tc>
        <w:tc>
          <w:tcPr>
            <w:shd w:fill="cccccc" w:val="clea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Contractual weekly hours</w:t>
            </w:r>
          </w:p>
        </w:tc>
        <w:tc>
          <w:tcPr>
            <w:shd w:fill="cccccc" w:val="clea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Regular overtime hours per week</w:t>
            </w:r>
          </w:p>
        </w:tc>
        <w:tc>
          <w:tcPr>
            <w:shd w:fill="cccccc" w:val="clea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Mobility or flexibility clause in contract?</w:t>
            </w:r>
          </w:p>
        </w:tc>
        <w:tc>
          <w:tcPr>
            <w:shd w:fill="cccccc" w:val="clea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Previously TUPE transferred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to organisation</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If so, please specify (i) date of transfer, (ii) name of transferor, and (iii) whether ex public sector</w:t>
            </w:r>
          </w:p>
        </w:tc>
        <w:tc>
          <w:tcPr>
            <w:shd w:fill="cccccc" w:val="clea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Any collective agreements?</w:t>
            </w:r>
          </w:p>
        </w:tc>
      </w:tr>
      <w:tr>
        <w:trPr>
          <w:cantSplit w:val="0"/>
          <w:tblHeader w:val="0"/>
        </w:trPr>
        <w:tc>
          <w:tcPr>
            <w:shd w:fill="f2f2f2" w:val="clea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3"/>
        <w:tblW w:w="13988.000000000002"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271"/>
        <w:gridCol w:w="1418"/>
        <w:gridCol w:w="1275"/>
        <w:gridCol w:w="1985"/>
        <w:gridCol w:w="1843"/>
        <w:gridCol w:w="1559"/>
        <w:gridCol w:w="1808"/>
        <w:gridCol w:w="1595"/>
        <w:gridCol w:w="1234"/>
        <w:tblGridChange w:id="0">
          <w:tblGrid>
            <w:gridCol w:w="1271"/>
            <w:gridCol w:w="1418"/>
            <w:gridCol w:w="1275"/>
            <w:gridCol w:w="1985"/>
            <w:gridCol w:w="1843"/>
            <w:gridCol w:w="1559"/>
            <w:gridCol w:w="1808"/>
            <w:gridCol w:w="1595"/>
            <w:gridCol w:w="1234"/>
          </w:tblGrid>
        </w:tblGridChange>
      </w:tblGrid>
      <w:tr>
        <w:trPr>
          <w:cantSplit w:val="0"/>
          <w:tblHeader w:val="0"/>
        </w:trPr>
        <w:tc>
          <w:tcPr>
            <w:gridSpan w:val="2"/>
            <w:shd w:fill="cccccc" w:val="clea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Assignment</w:t>
            </w:r>
          </w:p>
        </w:tc>
        <w:tc>
          <w:tcPr>
            <w:gridSpan w:val="7"/>
            <w:shd w:fill="cccccc" w:val="clear"/>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Contractual pay and benefits</w:t>
            </w:r>
          </w:p>
        </w:tc>
      </w:tr>
      <w:tr>
        <w:trPr>
          <w:cantSplit w:val="0"/>
          <w:tblHeader w:val="0"/>
        </w:trPr>
        <w:tc>
          <w:tcPr>
            <w:shd w:fill="f2f2f2" w:val="clea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of working time dedicated to the provision of services under the contract</w:t>
            </w:r>
          </w:p>
        </w:tc>
        <w:tc>
          <w:tcPr>
            <w:shd w:fill="cccccc" w:val="clear"/>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Salary (or hourly rate of pay)</w:t>
            </w:r>
          </w:p>
        </w:tc>
        <w:tc>
          <w:tcPr>
            <w:shd w:fill="cccccc" w:val="clea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Payment interval (weekly/fortnightly</w:t>
              <w:br w:type="textWrapping"/>
              <w:t xml:space="preserve">/monthly)</w:t>
            </w:r>
          </w:p>
        </w:tc>
        <w:tc>
          <w:tcPr>
            <w:shd w:fill="cccccc" w:val="clea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Bonus payment for previous 12 months (please specify whether contractual or discretionary entitlement)</w:t>
            </w:r>
          </w:p>
        </w:tc>
        <w:tc>
          <w:tcPr>
            <w:shd w:fill="cccccc" w:val="clea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Pay review method</w:t>
            </w:r>
          </w:p>
        </w:tc>
        <w:tc>
          <w:tcPr>
            <w:shd w:fill="cccccc" w:val="clea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Frequency of pay reviews</w:t>
            </w:r>
          </w:p>
        </w:tc>
        <w:tc>
          <w:tcPr>
            <w:shd w:fill="cccccc" w:val="clea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Agreed pay increases</w:t>
            </w:r>
          </w:p>
        </w:tc>
        <w:tc>
          <w:tcPr>
            <w:shd w:fill="cccccc" w:val="clea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Next pay review date</w:t>
            </w:r>
          </w:p>
        </w:tc>
      </w:tr>
      <w:tr>
        <w:trPr>
          <w:cantSplit w:val="0"/>
          <w:tblHeader w:val="0"/>
        </w:trPr>
        <w:tc>
          <w:tcPr>
            <w:shd w:fill="f2f2f2" w:val="clea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4"/>
        <w:tblW w:w="13988.000000000002"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252"/>
        <w:gridCol w:w="1592"/>
        <w:gridCol w:w="1592"/>
        <w:gridCol w:w="1592"/>
        <w:gridCol w:w="1592"/>
        <w:gridCol w:w="1592"/>
        <w:gridCol w:w="1592"/>
        <w:gridCol w:w="1592"/>
        <w:gridCol w:w="1592"/>
        <w:tblGridChange w:id="0">
          <w:tblGrid>
            <w:gridCol w:w="1252"/>
            <w:gridCol w:w="1592"/>
            <w:gridCol w:w="1592"/>
            <w:gridCol w:w="1592"/>
            <w:gridCol w:w="1592"/>
            <w:gridCol w:w="1592"/>
            <w:gridCol w:w="1592"/>
            <w:gridCol w:w="1592"/>
            <w:gridCol w:w="1592"/>
          </w:tblGrid>
        </w:tblGridChange>
      </w:tblGrid>
      <w:tr>
        <w:trPr>
          <w:cantSplit w:val="0"/>
          <w:tblHeader w:val="0"/>
        </w:trPr>
        <w:tc>
          <w:tcPr>
            <w:gridSpan w:val="9"/>
            <w:shd w:fill="cccccc" w:val="clear"/>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Contractual pay and benefits</w:t>
            </w:r>
          </w:p>
        </w:tc>
      </w:tr>
      <w:tr>
        <w:trPr>
          <w:cantSplit w:val="0"/>
          <w:tblHeader w:val="0"/>
        </w:trPr>
        <w:tc>
          <w:tcPr>
            <w:shd w:fill="f2f2f2" w:val="clear"/>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Any existing or future commitment to training that has a time-off or financial implication</w:t>
            </w:r>
          </w:p>
        </w:tc>
        <w:tc>
          <w:tcPr>
            <w:shd w:fill="cccccc" w:val="clear"/>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Car allowance (£ per year)</w:t>
            </w:r>
          </w:p>
        </w:tc>
        <w:tc>
          <w:tcPr>
            <w:shd w:fill="cccccc" w:val="clear"/>
          </w:tcPr>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Lease or company car details</w:t>
            </w:r>
          </w:p>
        </w:tc>
        <w:tc>
          <w:tcPr>
            <w:shd w:fill="cccccc" w:val="clear"/>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Any other allowances paid (e.g. shift allowance, standby allowance, travel allowance)</w:t>
            </w:r>
          </w:p>
        </w:tc>
        <w:tc>
          <w:tcPr>
            <w:shd w:fill="cccccc" w:val="clear"/>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Private medical insurance (please specify whether single or family cover)</w:t>
            </w:r>
          </w:p>
        </w:tc>
        <w:tc>
          <w:tcPr>
            <w:shd w:fill="cccccc" w:val="clear"/>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Life assurance (xSalary)</w:t>
            </w:r>
          </w:p>
        </w:tc>
        <w:tc>
          <w:tcPr>
            <w:shd w:fill="cccccc" w:val="clear"/>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Long Term Disability/PHI (% of Salary</w:t>
            </w:r>
          </w:p>
        </w:tc>
        <w:tc>
          <w:tcPr>
            <w:shd w:fill="cccccc" w:val="clear"/>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Any other benefits in kind</w:t>
            </w:r>
          </w:p>
        </w:tc>
      </w:tr>
      <w:tr>
        <w:trPr>
          <w:cantSplit w:val="0"/>
          <w:tblHeader w:val="0"/>
        </w:trPr>
        <w:tc>
          <w:tcPr>
            <w:shd w:fill="f2f2f2" w:val="clear"/>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5"/>
        <w:tblW w:w="13841.0"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555"/>
        <w:gridCol w:w="2031"/>
        <w:gridCol w:w="2032"/>
        <w:gridCol w:w="2032"/>
        <w:gridCol w:w="2031"/>
        <w:gridCol w:w="2032"/>
        <w:gridCol w:w="2128"/>
        <w:tblGridChange w:id="0">
          <w:tblGrid>
            <w:gridCol w:w="1555"/>
            <w:gridCol w:w="2031"/>
            <w:gridCol w:w="2032"/>
            <w:gridCol w:w="2032"/>
            <w:gridCol w:w="2031"/>
            <w:gridCol w:w="2032"/>
            <w:gridCol w:w="2128"/>
          </w:tblGrid>
        </w:tblGridChange>
      </w:tblGrid>
      <w:tr>
        <w:trPr>
          <w:cantSplit w:val="0"/>
          <w:tblHeader w:val="0"/>
        </w:trPr>
        <w:tc>
          <w:tcPr>
            <w:gridSpan w:val="7"/>
            <w:shd w:fill="cccccc" w:val="clear"/>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Contractual pay and benefits</w:t>
            </w:r>
          </w:p>
        </w:tc>
      </w:tr>
      <w:tr>
        <w:trPr>
          <w:cantSplit w:val="0"/>
          <w:tblHeader w:val="0"/>
        </w:trPr>
        <w:tc>
          <w:tcPr>
            <w:shd w:fill="f2f2f2" w:val="clear"/>
          </w:tcPr>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Annual leave entitlement (excluding bank holidays)</w:t>
            </w:r>
          </w:p>
        </w:tc>
        <w:tc>
          <w:tcPr>
            <w:shd w:fill="cccccc" w:val="clear"/>
          </w:tcPr>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Bank holiday entitlement</w:t>
            </w:r>
          </w:p>
        </w:tc>
        <w:tc>
          <w:tcPr>
            <w:shd w:fill="cccccc" w:val="clear"/>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Method of calculating holiday pay (i.e. based on fixed salary only or incl. entitlements to variable remuneration such as bonuses, allowances, commission or overtime pay?)</w:t>
            </w:r>
          </w:p>
        </w:tc>
        <w:tc>
          <w:tcPr>
            <w:shd w:fill="cccccc" w:val="clear"/>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Maternity or paternity or shared parental leave entitlement and pay</w:t>
            </w:r>
          </w:p>
        </w:tc>
        <w:tc>
          <w:tcPr>
            <w:shd w:fill="cccccc" w:val="clear"/>
          </w:tcPr>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Sick leave entitlement and pay</w:t>
            </w:r>
          </w:p>
        </w:tc>
        <w:tc>
          <w:tcPr>
            <w:shd w:fill="cccccc" w:val="clear"/>
          </w:tcPr>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Redundancy pay entitlement (statutory/enhanced</w:t>
              <w:br w:type="textWrapping"/>
              <w:t xml:space="preserve">/contractual /discretionary)</w:t>
            </w:r>
          </w:p>
        </w:tc>
      </w:tr>
      <w:tr>
        <w:trPr>
          <w:cantSplit w:val="0"/>
          <w:tblHeader w:val="0"/>
        </w:trPr>
        <w:tc>
          <w:tcPr>
            <w:shd w:fill="f2f2f2" w:val="clear"/>
          </w:tcPr>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6"/>
        <w:tblW w:w="13841.0"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555"/>
        <w:gridCol w:w="2031"/>
        <w:gridCol w:w="2032"/>
        <w:gridCol w:w="2032"/>
        <w:gridCol w:w="2031"/>
        <w:gridCol w:w="2032"/>
        <w:gridCol w:w="2128"/>
        <w:tblGridChange w:id="0">
          <w:tblGrid>
            <w:gridCol w:w="1555"/>
            <w:gridCol w:w="2031"/>
            <w:gridCol w:w="2032"/>
            <w:gridCol w:w="2032"/>
            <w:gridCol w:w="2031"/>
            <w:gridCol w:w="2032"/>
            <w:gridCol w:w="2128"/>
          </w:tblGrid>
        </w:tblGridChange>
      </w:tblGrid>
      <w:tr>
        <w:trPr>
          <w:cantSplit w:val="0"/>
          <w:tblHeader w:val="0"/>
        </w:trPr>
        <w:tc>
          <w:tcPr>
            <w:gridSpan w:val="7"/>
            <w:shd w:fill="cccccc" w:val="clear"/>
          </w:tcPr>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Pensions</w:t>
            </w:r>
          </w:p>
        </w:tc>
      </w:tr>
      <w:tr>
        <w:trPr>
          <w:cantSplit w:val="0"/>
          <w:tblHeader w:val="0"/>
        </w:trPr>
        <w:tc>
          <w:tcPr>
            <w:shd w:fill="f2f2f2" w:val="clear"/>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Employee pension contribution rate</w:t>
            </w:r>
          </w:p>
        </w:tc>
        <w:tc>
          <w:tcPr>
            <w:shd w:fill="cccccc" w:val="clear"/>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Employer pension contribution rate</w:t>
            </w:r>
          </w:p>
        </w:tc>
        <w:tc>
          <w:tcPr>
            <w:shd w:fill="cccccc" w:val="clear"/>
          </w:tcPr>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Please provide the name of the pension scheme and a link to the pension scheme website</w:t>
            </w:r>
          </w:p>
        </w:tc>
        <w:tc>
          <w:tcPr>
            <w:shd w:fill="cccccc" w:val="clear"/>
          </w:tcPr>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Is the scheme an occupational pension scheme as defined in the Pension Schemes Act 1993?</w:t>
            </w:r>
          </w:p>
        </w:tc>
        <w:tc>
          <w:tcPr>
            <w:shd w:fill="cccccc" w:val="clear"/>
          </w:tcPr>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If the scheme is not an occupational pension scheme, what type of scheme is it? e.g. personal pension scheme?</w:t>
            </w:r>
          </w:p>
        </w:tc>
        <w:tc>
          <w:tcPr>
            <w:shd w:fill="cccccc" w:val="clear"/>
          </w:tcPr>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Type of pension provision e.g. defined benefit (CARE or final salary, and whether a public sector scheme e.g. CSPS or a broadly comparable scheme) or a defined contribution scheme or an auto enrolment master trust?</w:t>
            </w:r>
          </w:p>
        </w:tc>
      </w:tr>
      <w:tr>
        <w:trPr>
          <w:cantSplit w:val="0"/>
          <w:tblHeader w:val="0"/>
        </w:trPr>
        <w:tc>
          <w:tcPr>
            <w:shd w:fill="f2f2f2" w:val="clear"/>
          </w:tcPr>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7"/>
        <w:tblW w:w="13841.000000000002"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555"/>
        <w:gridCol w:w="2031"/>
        <w:gridCol w:w="1938"/>
        <w:gridCol w:w="1842"/>
        <w:gridCol w:w="1843"/>
        <w:gridCol w:w="2504"/>
        <w:gridCol w:w="2128"/>
        <w:tblGridChange w:id="0">
          <w:tblGrid>
            <w:gridCol w:w="1555"/>
            <w:gridCol w:w="2031"/>
            <w:gridCol w:w="1938"/>
            <w:gridCol w:w="1842"/>
            <w:gridCol w:w="1843"/>
            <w:gridCol w:w="2504"/>
            <w:gridCol w:w="2128"/>
          </w:tblGrid>
        </w:tblGridChange>
      </w:tblGrid>
      <w:tr>
        <w:trPr>
          <w:cantSplit w:val="0"/>
          <w:tblHeader w:val="0"/>
        </w:trPr>
        <w:tc>
          <w:tcPr>
            <w:gridSpan w:val="7"/>
            <w:shd w:fill="cccccc" w:val="clear"/>
          </w:tcPr>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Pensions</w:t>
            </w:r>
          </w:p>
        </w:tc>
      </w:tr>
      <w:tr>
        <w:trPr>
          <w:cantSplit w:val="0"/>
          <w:tblHeader w:val="0"/>
        </w:trPr>
        <w:tc>
          <w:tcPr>
            <w:shd w:fill="f2f2f2" w:val="clear"/>
          </w:tcPr>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If the Employee is in the Local Government Pension Scheme, please supply details of Fund and Administering Authority</w:t>
            </w:r>
          </w:p>
        </w:tc>
        <w:tc>
          <w:tcPr>
            <w:shd w:fill="cccccc" w:val="clear"/>
          </w:tcPr>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If the Employee is in the Civil Service Pension Scheme, please provide details of the Admission Agreement</w:t>
            </w:r>
          </w:p>
        </w:tc>
        <w:tc>
          <w:tcPr>
            <w:shd w:fill="cccccc" w:val="clear"/>
          </w:tcPr>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If the Employee is in the NHSPS, please provide details of the Direction Letter</w:t>
            </w:r>
          </w:p>
        </w:tc>
        <w:tc>
          <w:tcPr>
            <w:shd w:fill="cccccc" w:val="clear"/>
          </w:tcPr>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If the Employee is in a broadly comparable pension scheme, please supply a copy of the GAD certificate of Broad Comparability</w:t>
            </w:r>
          </w:p>
        </w:tc>
        <w:tc>
          <w:tcPr>
            <w:shd w:fill="cccccc" w:val="clear"/>
          </w:tcPr>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shd w:fill="cccccc" w:val="clear"/>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If Fair Deal, Best Value or other pension protection applied, which public sector employer did they originally transfer out of and when?</w:t>
            </w:r>
          </w:p>
        </w:tc>
      </w:tr>
      <w:tr>
        <w:trPr>
          <w:cantSplit w:val="0"/>
          <w:tblHeader w:val="0"/>
        </w:trPr>
        <w:tc>
          <w:tcPr>
            <w:shd w:fill="f2f2f2" w:val="clear"/>
          </w:tcPr>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8"/>
        <w:tblW w:w="13887.0"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555"/>
        <w:gridCol w:w="4110"/>
        <w:gridCol w:w="4111"/>
        <w:gridCol w:w="4111"/>
        <w:tblGridChange w:id="0">
          <w:tblGrid>
            <w:gridCol w:w="1555"/>
            <w:gridCol w:w="4110"/>
            <w:gridCol w:w="4111"/>
            <w:gridCol w:w="4111"/>
          </w:tblGrid>
        </w:tblGridChange>
      </w:tblGrid>
      <w:tr>
        <w:trPr>
          <w:cantSplit w:val="0"/>
          <w:tblHeader w:val="0"/>
        </w:trPr>
        <w:tc>
          <w:tcPr>
            <w:gridSpan w:val="4"/>
            <w:shd w:fill="cccccc" w:val="clear"/>
          </w:tcPr>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Other</w:t>
            </w:r>
          </w:p>
        </w:tc>
      </w:tr>
      <w:tr>
        <w:trPr>
          <w:cantSplit w:val="0"/>
          <w:tblHeader w:val="0"/>
        </w:trPr>
        <w:tc>
          <w:tcPr>
            <w:shd w:fill="f2f2f2" w:val="clear"/>
          </w:tcPr>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Check Level</w:t>
            </w:r>
          </w:p>
        </w:tc>
        <w:tc>
          <w:tcPr>
            <w:shd w:fill="cccccc" w:val="clear"/>
          </w:tcPr>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Clearance Expiry date</w:t>
            </w:r>
          </w:p>
        </w:tc>
        <w:tc>
          <w:tcPr>
            <w:shd w:fill="cccccc" w:val="clear"/>
          </w:tcPr>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Additional info or comments</w:t>
            </w:r>
          </w:p>
        </w:tc>
      </w:tr>
      <w:tr>
        <w:trPr>
          <w:cantSplit w:val="0"/>
          <w:tblHeader w:val="0"/>
        </w:trPr>
        <w:tc>
          <w:tcPr>
            <w:shd w:fill="f2f2f2" w:val="clear"/>
          </w:tcPr>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9"/>
        <w:tblW w:w="13841.000000000002"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555"/>
        <w:gridCol w:w="2031"/>
        <w:gridCol w:w="1938"/>
        <w:gridCol w:w="1842"/>
        <w:gridCol w:w="1843"/>
        <w:gridCol w:w="2504"/>
        <w:gridCol w:w="2128"/>
        <w:tblGridChange w:id="0">
          <w:tblGrid>
            <w:gridCol w:w="1555"/>
            <w:gridCol w:w="2031"/>
            <w:gridCol w:w="1938"/>
            <w:gridCol w:w="1842"/>
            <w:gridCol w:w="1843"/>
            <w:gridCol w:w="2504"/>
            <w:gridCol w:w="2128"/>
          </w:tblGrid>
        </w:tblGridChange>
      </w:tblGrid>
      <w:tr>
        <w:trPr>
          <w:cantSplit w:val="0"/>
          <w:tblHeader w:val="0"/>
        </w:trPr>
        <w:tc>
          <w:tcPr>
            <w:gridSpan w:val="7"/>
            <w:shd w:fill="cccccc" w:val="clear"/>
          </w:tcPr>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Immigration</w:t>
            </w:r>
          </w:p>
        </w:tc>
      </w:tr>
      <w:tr>
        <w:trPr>
          <w:cantSplit w:val="0"/>
          <w:tblHeader w:val="0"/>
        </w:trPr>
        <w:tc>
          <w:tcPr>
            <w:shd w:fill="f2f2f2" w:val="clear"/>
          </w:tcPr>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c>
          <w:tcPr>
            <w:shd w:fill="cccccc" w:val="clear"/>
          </w:tcPr>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Date employment started</w:t>
            </w:r>
          </w:p>
        </w:tc>
        <w:tc>
          <w:tcPr>
            <w:shd w:fill="cccccc" w:val="clear"/>
          </w:tcPr>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Document checked for right to work purposes eg British passport or Indefinite Leave to Remain BRP</w:t>
            </w:r>
          </w:p>
        </w:tc>
        <w:tc>
          <w:tcPr>
            <w:shd w:fill="cccccc" w:val="clear"/>
          </w:tcPr>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Nationality of individual (if known)</w:t>
            </w:r>
          </w:p>
        </w:tc>
        <w:tc>
          <w:tcPr>
            <w:shd w:fill="cccccc" w:val="clear"/>
          </w:tcPr>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Visa expiry if applicable</w:t>
            </w:r>
          </w:p>
        </w:tc>
        <w:tc>
          <w:tcPr>
            <w:shd w:fill="cccccc" w:val="clear"/>
          </w:tcPr>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Copy of the right to work check that was completed</w:t>
            </w:r>
          </w:p>
        </w:tc>
        <w:tc>
          <w:tcPr>
            <w:shd w:fill="cccccc" w:val="clear"/>
          </w:tcPr>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Date right to work check was carried out (if not apparent from the copy of the right to work check)</w:t>
            </w:r>
          </w:p>
        </w:tc>
      </w:tr>
      <w:tr>
        <w:trPr>
          <w:cantSplit w:val="0"/>
          <w:tblHeader w:val="0"/>
        </w:trPr>
        <w:tc>
          <w:tcPr>
            <w:shd w:fill="f2f2f2" w:val="clear"/>
          </w:tcPr>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1</w:t>
            </w:r>
          </w:p>
        </w:tc>
        <w:tc>
          <w:tcPr/>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 2</w:t>
            </w:r>
          </w:p>
        </w:tc>
        <w:tc>
          <w:tcPr/>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 No</w:t>
            </w:r>
          </w:p>
        </w:tc>
        <w:tc>
          <w:tcPr/>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type w:val="nextPage"/>
      <w:pgSz w:h="11909" w:w="16834" w:orient="landscape"/>
      <w:pgMar w:bottom="1418" w:top="1418"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0"/>
      <w:numFmt w:val="decimal"/>
      <w:lvlText w:val="Schedule %1"/>
      <w:lvlJc w:val="center"/>
      <w:pPr>
        <w:ind w:left="0" w:firstLine="567"/>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upperLetter"/>
      <w:lvlText w:val="Appendix %1"/>
      <w:lvlJc w:val="center"/>
      <w:pPr>
        <w:ind w:left="0" w:firstLine="567"/>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
      <w:numFmt w:val="bullet"/>
      <w:lvlText w:val="●"/>
      <w:lvlJc w:val="left"/>
      <w:pPr>
        <w:ind w:left="720" w:hanging="720"/>
      </w:pPr>
      <w:rPr>
        <w:rFonts w:ascii="Noto Sans Symbols" w:cs="Noto Sans Symbols" w:eastAsia="Noto Sans Symbols" w:hAnsi="Noto Sans Symbols"/>
        <w:color w:val="000000"/>
      </w:rPr>
    </w:lvl>
    <w:lvl w:ilvl="1">
      <w:start w:val="1"/>
      <w:numFmt w:val="bullet"/>
      <w:lvlText w:val="●"/>
      <w:lvlJc w:val="left"/>
      <w:pPr>
        <w:ind w:left="1803" w:hanging="1083"/>
      </w:pPr>
      <w:rPr>
        <w:rFonts w:ascii="Noto Sans Symbols" w:cs="Noto Sans Symbols" w:eastAsia="Noto Sans Symbols" w:hAnsi="Noto Sans Symbols"/>
        <w:color w:val="000000"/>
      </w:rPr>
    </w:lvl>
    <w:lvl w:ilvl="2">
      <w:start w:val="1"/>
      <w:numFmt w:val="decimal"/>
      <w:lvlText w:val=""/>
      <w:lvlJc w:val="left"/>
      <w:pPr>
        <w:ind w:left="1803" w:hanging="1083"/>
      </w:pPr>
      <w:rPr/>
    </w:lvl>
    <w:lvl w:ilvl="3">
      <w:start w:val="1"/>
      <w:numFmt w:val="decimal"/>
      <w:lvlText w:val=""/>
      <w:lvlJc w:val="left"/>
      <w:pPr>
        <w:ind w:left="1803" w:hanging="1083"/>
      </w:pPr>
      <w:rPr/>
    </w:lvl>
    <w:lvl w:ilvl="4">
      <w:start w:val="1"/>
      <w:numFmt w:val="decimal"/>
      <w:lvlText w:val=""/>
      <w:lvlJc w:val="left"/>
      <w:pPr>
        <w:ind w:left="1803" w:hanging="1083"/>
      </w:pPr>
      <w:rPr/>
    </w:lvl>
    <w:lvl w:ilvl="5">
      <w:start w:val="1"/>
      <w:numFmt w:val="decimal"/>
      <w:lvlText w:val=""/>
      <w:lvlJc w:val="left"/>
      <w:pPr>
        <w:ind w:left="1803" w:hanging="1083"/>
      </w:pPr>
      <w:rPr/>
    </w:lvl>
    <w:lvl w:ilvl="6">
      <w:start w:val="1"/>
      <w:numFmt w:val="decimal"/>
      <w:lvlText w:val=""/>
      <w:lvlJc w:val="left"/>
      <w:pPr>
        <w:ind w:left="1803" w:hanging="1083"/>
      </w:pPr>
      <w:rPr/>
    </w:lvl>
    <w:lvl w:ilvl="7">
      <w:start w:val="1"/>
      <w:numFmt w:val="decimal"/>
      <w:lvlText w:val=""/>
      <w:lvlJc w:val="left"/>
      <w:pPr>
        <w:ind w:left="1803" w:hanging="1083"/>
      </w:pPr>
      <w:rPr/>
    </w:lvl>
    <w:lvl w:ilvl="8">
      <w:start w:val="1"/>
      <w:numFmt w:val="decimal"/>
      <w:lvlText w:val=""/>
      <w:lvlJc w:val="left"/>
      <w:pPr>
        <w:ind w:left="1803" w:hanging="1083"/>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AE132B"/>
    <w:rPr>
      <w:lang w:eastAsia="en-US"/>
    </w:rPr>
  </w:style>
  <w:style w:type="paragraph" w:styleId="Heading1">
    <w:name w:val="heading 1"/>
    <w:basedOn w:val="Normal"/>
    <w:next w:val="Normal"/>
    <w:uiPriority w:val="9"/>
    <w:semiHidden w:val="1"/>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endixText1" w:customStyle="1">
    <w:name w:val="Appendix Text 1"/>
    <w:basedOn w:val="Normal"/>
    <w:next w:val="STNBodyText1"/>
    <w:rsid w:val="00A64F01"/>
    <w:pPr>
      <w:numPr>
        <w:numId w:val="14"/>
      </w:numPr>
      <w:spacing w:after="200" w:before="100"/>
    </w:pPr>
    <w:rPr>
      <w:rFonts w:cs="Times New Roman" w:eastAsia="Times New Roman"/>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64F01"/>
    <w:pPr>
      <w:numPr>
        <w:ilvl w:val="1"/>
      </w:numPr>
    </w:p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14"/>
      </w:numPr>
    </w:pPr>
  </w:style>
  <w:style w:type="paragraph" w:styleId="AppendixText4" w:customStyle="1">
    <w:name w:val="Appendix Text 4"/>
    <w:basedOn w:val="Level4"/>
    <w:next w:val="STNBodyText4"/>
    <w:rsid w:val="00A64F01"/>
    <w:pPr>
      <w:numPr>
        <w:numId w:val="14"/>
      </w:numPr>
    </w:pPr>
  </w:style>
  <w:style w:type="paragraph" w:styleId="AppendixText5" w:customStyle="1">
    <w:name w:val="Appendix Text 5"/>
    <w:basedOn w:val="Level5"/>
    <w:next w:val="STNBodyText5"/>
    <w:rsid w:val="00A64F01"/>
    <w:pPr>
      <w:numPr>
        <w:numId w:val="14"/>
      </w:numPr>
      <w:tabs>
        <w:tab w:val="clear" w:pos="1803"/>
      </w:tabs>
    </w:pPr>
  </w:style>
  <w:style w:type="paragraph" w:styleId="Level1" w:customStyle="1">
    <w:name w:val="Level 1"/>
    <w:basedOn w:val="STNBodyText"/>
    <w:next w:val="STNBodyText1"/>
    <w:qFormat w:val="1"/>
    <w:rsid w:val="00A64F01"/>
    <w:pPr>
      <w:numPr>
        <w:numId w:val="10"/>
      </w:numPr>
      <w:tabs>
        <w:tab w:val="left" w:pos="720"/>
      </w:tabs>
    </w:pPr>
  </w:style>
  <w:style w:type="paragraph" w:styleId="Level1Bold" w:customStyle="1">
    <w:name w:val="Level 1 Bold"/>
    <w:basedOn w:val="Level1"/>
    <w:next w:val="Level2"/>
    <w:qFormat w:val="1"/>
    <w:rsid w:val="00D34BD0"/>
    <w:rPr>
      <w:b w:val="1"/>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0" w:customStyle="1">
    <w:name w:val="Appendix Heading"/>
    <w:basedOn w:val="Normal"/>
    <w:next w:val="AppendixSubHeading"/>
    <w:rsid w:val="00A64F01"/>
    <w:pPr>
      <w:numPr>
        <w:numId w:val="12"/>
      </w:numPr>
      <w:spacing w:after="300" w:before="10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numPr>
        <w:numId w:val="11"/>
      </w:numPr>
      <w:spacing w:after="200" w:before="10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A64F01"/>
    <w:pPr>
      <w:numPr>
        <w:ilvl w:val="1"/>
      </w:numPr>
    </w:pPr>
  </w:style>
  <w:style w:type="paragraph" w:styleId="Level3" w:customStyle="1">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pPr>
  </w:style>
  <w:style w:type="paragraph" w:styleId="Level5" w:customStyle="1">
    <w:name w:val="Level 5"/>
    <w:basedOn w:val="Level4"/>
    <w:next w:val="STNBodyText5"/>
    <w:rsid w:val="00A64F01"/>
    <w:pPr>
      <w:numPr>
        <w:ilvl w:val="4"/>
      </w:numPr>
      <w:tabs>
        <w:tab w:val="left" w:pos="2523"/>
      </w:tabs>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numPr>
        <w:numId w:val="18"/>
      </w:numPr>
      <w:spacing w:after="200" w:before="100"/>
    </w:pPr>
    <w:rPr>
      <w:rFonts w:cs="Times New Roman" w:eastAsia="Times New Roman"/>
      <w:szCs w:val="24"/>
      <w:lang w:eastAsia="en-GB"/>
    </w:rPr>
  </w:style>
  <w:style w:type="paragraph" w:styleId="PartiesFrontSheet" w:customStyle="1">
    <w:name w:val="Parties Front Sheet"/>
    <w:basedOn w:val="Normal"/>
    <w:rsid w:val="00245F35"/>
    <w:pPr>
      <w:numPr>
        <w:numId w:val="17"/>
      </w:numPr>
    </w:pPr>
    <w:rPr>
      <w:rFonts w:cs="Times New Roman" w:eastAsia="Times New Roman"/>
      <w:szCs w:val="24"/>
      <w:lang w:eastAsia="en-GB"/>
    </w:rPr>
  </w:style>
  <w:style w:type="paragraph" w:styleId="Recitals" w:customStyle="1">
    <w:name w:val="Recitals"/>
    <w:basedOn w:val="Normal"/>
    <w:rsid w:val="00245F35"/>
    <w:pPr>
      <w:numPr>
        <w:numId w:val="16"/>
      </w:numPr>
      <w:spacing w:after="100" w:before="10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0" w:customStyle="1">
    <w:name w:val="Schedule Heading"/>
    <w:basedOn w:val="Normal"/>
    <w:next w:val="ScheduleSubHeading"/>
    <w:rsid w:val="00A64F01"/>
    <w:pPr>
      <w:numPr>
        <w:numId w:val="21"/>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C21C0F"/>
    <w:pPr>
      <w:numPr>
        <w:numId w:val="15"/>
      </w:numPr>
      <w:spacing w:after="200" w:before="400"/>
    </w:pPr>
    <w:rPr>
      <w:rFonts w:cs="Times New Roman" w:eastAsia="Times New Roman"/>
      <w:b w:val="1"/>
      <w:szCs w:val="24"/>
      <w:lang w:eastAsia="en-GB"/>
    </w:rPr>
  </w:style>
  <w:style w:type="paragraph" w:styleId="ScheduleText2" w:customStyle="1">
    <w:name w:val="Schedule Text 2"/>
    <w:basedOn w:val="ScheduleText1"/>
    <w:next w:val="STNBodyText2"/>
    <w:rsid w:val="00C21C0F"/>
    <w:pPr>
      <w:numPr>
        <w:ilvl w:val="1"/>
      </w:numPr>
      <w:spacing w:before="100"/>
    </w:pPr>
    <w:rPr>
      <w:b w:val="0"/>
    </w:rPr>
  </w:style>
  <w:style w:type="paragraph" w:styleId="ScheduleText3" w:customStyle="1">
    <w:name w:val="Schedule Text 3"/>
    <w:basedOn w:val="Level3"/>
    <w:next w:val="STNBodyText3"/>
    <w:rsid w:val="00A64F01"/>
    <w:pPr>
      <w:numPr>
        <w:numId w:val="15"/>
      </w:numPr>
    </w:pPr>
  </w:style>
  <w:style w:type="paragraph" w:styleId="ScheduleText4" w:customStyle="1">
    <w:name w:val="Schedule Text 4"/>
    <w:basedOn w:val="Level4"/>
    <w:next w:val="STNBodyText4"/>
    <w:rsid w:val="00A64F01"/>
    <w:pPr>
      <w:numPr>
        <w:numId w:val="15"/>
      </w:numPr>
    </w:pPr>
  </w:style>
  <w:style w:type="paragraph" w:styleId="ScheduleText5" w:customStyle="1">
    <w:name w:val="Schedule Text 5"/>
    <w:basedOn w:val="Level5"/>
    <w:next w:val="STNBodyText5"/>
    <w:rsid w:val="00A64F01"/>
    <w:pPr>
      <w:numPr>
        <w:numId w:val="15"/>
      </w:numPr>
      <w:tabs>
        <w:tab w:val="clear" w:pos="1803"/>
      </w:tabs>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numPr>
        <w:numId w:val="13"/>
      </w:numPr>
    </w:pPr>
  </w:style>
  <w:style w:type="paragraph" w:styleId="TOC2">
    <w:name w:val="toc 2"/>
    <w:basedOn w:val="Normal"/>
    <w:next w:val="Normal"/>
    <w:autoRedefine w:val="1"/>
    <w:uiPriority w:val="39"/>
    <w:unhideWhenUsed w:val="1"/>
    <w:rsid w:val="00874A69"/>
    <w:pPr>
      <w:numPr>
        <w:numId w:val="19"/>
      </w:numPr>
      <w:tabs>
        <w:tab w:val="right" w:leader="dot" w:pos="8448"/>
      </w:tabs>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numPr>
        <w:numId w:val="20"/>
      </w:numPr>
      <w:tabs>
        <w:tab w:val="right" w:leader="dot" w:pos="8448"/>
      </w:tabs>
    </w:pPr>
    <w:rPr>
      <w:rFonts w:cs="Times New Roman" w:eastAsia="Times New Roman"/>
      <w:szCs w:val="24"/>
      <w:lang w:eastAsia="en-GB"/>
    </w:rPr>
  </w:style>
  <w:style w:type="paragraph" w:styleId="BulletsLevel1" w:customStyle="1">
    <w:name w:val="Bullets Level 1"/>
    <w:basedOn w:val="STNBodyText1"/>
    <w:rsid w:val="00A64F01"/>
    <w:pPr>
      <w:numPr>
        <w:ilvl w:val="1"/>
        <w:numId w:val="13"/>
      </w:numPr>
      <w:tabs>
        <w:tab w:val="left" w:pos="1797"/>
      </w:tabs>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rPr>
      <w:rFonts w:cs="Arial"/>
    </w:rPr>
  </w:style>
  <w:style w:type="character" w:styleId="Level2Char" w:customStyle="1">
    <w:name w:val="Level 2 Char"/>
    <w:link w:val="Level2"/>
    <w:locked w:val="1"/>
    <w:rsid w:val="00EC2472"/>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pPr>
      <w:numPr>
        <w:numId w:val="2"/>
      </w:numPr>
    </w:pPr>
  </w:style>
  <w:style w:type="numbering" w:styleId="Scheduletext" w:customStyle="1">
    <w:name w:val="Schedule text"/>
    <w:uiPriority w:val="99"/>
    <w:rsid w:val="00A64F01"/>
    <w:pPr>
      <w:numPr>
        <w:numId w:val="4"/>
      </w:numPr>
    </w:pPr>
  </w:style>
  <w:style w:type="numbering" w:styleId="Appendix" w:customStyle="1">
    <w:name w:val="Appendix"/>
    <w:uiPriority w:val="99"/>
    <w:rsid w:val="00A64F01"/>
    <w:pPr>
      <w:numPr>
        <w:numId w:val="6"/>
      </w:numPr>
    </w:pPr>
  </w:style>
  <w:style w:type="numbering" w:styleId="Appendixheading" w:customStyle="1">
    <w:name w:val="Appendix heading"/>
    <w:uiPriority w:val="99"/>
    <w:rsid w:val="00A64F01"/>
    <w:pPr>
      <w:numPr>
        <w:numId w:val="5"/>
      </w:numPr>
    </w:pPr>
  </w:style>
  <w:style w:type="numbering" w:styleId="Scheduleheading" w:customStyle="1">
    <w:name w:val="Schedule heading"/>
    <w:uiPriority w:val="99"/>
    <w:rsid w:val="00A64F01"/>
    <w:pPr>
      <w:numPr>
        <w:numId w:val="3"/>
      </w:numPr>
    </w:pPr>
  </w:style>
  <w:style w:type="numbering" w:styleId="Bullets" w:customStyle="1">
    <w:name w:val="Bullets"/>
    <w:uiPriority w:val="99"/>
    <w:rsid w:val="00A64F01"/>
    <w:pPr>
      <w:numPr>
        <w:numId w:val="7"/>
      </w:numPr>
    </w:pPr>
  </w:style>
  <w:style w:type="paragraph" w:styleId="DefinitionListLevel1" w:customStyle="1">
    <w:name w:val="Definition List Level 1"/>
    <w:basedOn w:val="DefinitionList"/>
    <w:rsid w:val="00A64F01"/>
    <w:pPr>
      <w:numPr>
        <w:ilvl w:val="1"/>
      </w:numPr>
    </w:pPr>
  </w:style>
  <w:style w:type="numbering" w:styleId="Definitions" w:customStyle="1">
    <w:name w:val="Definitions"/>
    <w:uiPriority w:val="99"/>
    <w:rsid w:val="00A64F01"/>
    <w:pPr>
      <w:numPr>
        <w:numId w:val="9"/>
      </w:numPr>
    </w:pPr>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pPr>
  </w:style>
  <w:style w:type="paragraph" w:styleId="Level7" w:customStyle="1">
    <w:name w:val="Level 7"/>
    <w:basedOn w:val="Level6"/>
    <w:rsid w:val="009D5133"/>
    <w:pPr>
      <w:numPr>
        <w:ilvl w:val="6"/>
      </w:numPr>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pPr>
  </w:style>
  <w:style w:type="paragraph" w:styleId="ScheduleText7" w:customStyle="1">
    <w:name w:val="Schedule Text 7"/>
    <w:basedOn w:val="ScheduleText6"/>
    <w:rsid w:val="00063B34"/>
    <w:pPr>
      <w:numPr>
        <w:ilvl w:val="6"/>
      </w:numPr>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2">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3">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4">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5">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6">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7">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8">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9">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9gaMFjFhKT8ucW4RVGwphGlQUA==">AMUW2mXFBv3B/OTAVz/cRb9G2q9HopV9ifcMp0kMQaoGZsENrrMPoytE9MbDOl2Sp0/3pnub/6eENExARzz/ZTNJiyqqWUoi+oHDEEkJtKGDVRQDfrU2DnYUU1xzRcl30Uw4Ir72eyRwXv4ClI4l+p23DaG6+1agyjv7gIgEWNH6yKLMRxPX7U6NMp/LC8MJykZxj+SEdr836vyl0xzPH8IeEGTf/bh2+BSqSqNNT4V9eXX6s5RkrHsKQb+RnCRVLu22ZB2W62NmcJxPxKeiBfoajcKmwi7G4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2022-08-30T13:50:00Z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DocID">
    <vt:lpwstr>73419528.1</vt:lpwstr>
  </property>
</Properties>
</file>